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D5E0F">
      <w:pPr>
        <w:spacing w:line="600" w:lineRule="exact"/>
        <w:rPr>
          <w:rFonts w:ascii="仿宋_GB2312" w:hAnsi="仿宋_GB2312" w:eastAsia="仿宋_GB2312" w:cs="仿宋_GB2312"/>
          <w:bCs/>
          <w:color w:val="000000"/>
          <w:sz w:val="36"/>
          <w:szCs w:val="36"/>
        </w:rPr>
      </w:pPr>
      <w:r>
        <w:rPr>
          <w:rFonts w:hint="eastAsia" w:ascii="仿宋_GB2312" w:hAnsi="仿宋_GB2312" w:eastAsia="仿宋_GB2312" w:cs="仿宋_GB2312"/>
          <w:bCs/>
          <w:color w:val="000000"/>
          <w:sz w:val="36"/>
          <w:szCs w:val="36"/>
        </w:rPr>
        <w:t>附件8</w:t>
      </w:r>
    </w:p>
    <w:p w14:paraId="23F665BB">
      <w:pPr>
        <w:spacing w:line="600" w:lineRule="exact"/>
        <w:rPr>
          <w:rFonts w:ascii="仿宋_GB2312" w:hAnsi="仿宋_GB2312" w:eastAsia="仿宋_GB2312" w:cs="仿宋_GB2312"/>
          <w:bCs/>
          <w:color w:val="000000"/>
          <w:sz w:val="36"/>
          <w:szCs w:val="36"/>
        </w:rPr>
      </w:pPr>
    </w:p>
    <w:p w14:paraId="62F05E69">
      <w:pPr>
        <w:spacing w:line="600" w:lineRule="exact"/>
        <w:jc w:val="center"/>
        <w:rPr>
          <w:rFonts w:ascii="仿宋_GB2312" w:hAnsi="仿宋_GB2312" w:eastAsia="仿宋_GB2312" w:cs="仿宋_GB2312"/>
          <w:bCs/>
          <w:color w:val="000000"/>
          <w:sz w:val="36"/>
          <w:szCs w:val="36"/>
        </w:rPr>
      </w:pPr>
      <w:r>
        <w:rPr>
          <w:rFonts w:hint="eastAsia" w:ascii="仿宋_GB2312" w:hAnsi="仿宋_GB2312" w:eastAsia="仿宋_GB2312" w:cs="仿宋_GB2312"/>
          <w:bCs/>
          <w:sz w:val="36"/>
          <w:szCs w:val="36"/>
          <w:lang w:val="en-US" w:eastAsia="zh-Hans"/>
        </w:rPr>
        <w:t>福州新投</w:t>
      </w:r>
      <w:r>
        <w:rPr>
          <w:rFonts w:hint="eastAsia" w:ascii="仿宋_GB2312" w:hAnsi="仿宋_GB2312" w:eastAsia="仿宋_GB2312" w:cs="仿宋_GB2312"/>
          <w:bCs/>
          <w:sz w:val="36"/>
          <w:szCs w:val="36"/>
          <w:lang w:val="en-US" w:eastAsia="zh-CN"/>
        </w:rPr>
        <w:t>机器人创业投资基金</w:t>
      </w:r>
      <w:r>
        <w:rPr>
          <w:rFonts w:hint="eastAsia" w:ascii="仿宋_GB2312" w:hAnsi="仿宋_GB2312" w:eastAsia="仿宋_GB2312" w:cs="仿宋_GB2312"/>
          <w:bCs/>
          <w:color w:val="000000"/>
          <w:sz w:val="36"/>
          <w:szCs w:val="36"/>
        </w:rPr>
        <w:t>方案</w:t>
      </w:r>
    </w:p>
    <w:p w14:paraId="525322FA">
      <w:pPr>
        <w:spacing w:line="600" w:lineRule="exact"/>
        <w:jc w:val="center"/>
        <w:rPr>
          <w:rFonts w:ascii="仿宋_GB2312" w:hAnsi="仿宋_GB2312" w:eastAsia="仿宋_GB2312" w:cs="仿宋_GB2312"/>
          <w:bCs/>
          <w:kern w:val="0"/>
          <w:sz w:val="36"/>
          <w:szCs w:val="36"/>
        </w:rPr>
      </w:pPr>
      <w:r>
        <w:rPr>
          <w:rFonts w:hint="eastAsia" w:ascii="仿宋_GB2312" w:hAnsi="仿宋_GB2312" w:eastAsia="仿宋_GB2312" w:cs="仿宋_GB2312"/>
          <w:bCs/>
          <w:color w:val="000000"/>
          <w:sz w:val="36"/>
          <w:szCs w:val="36"/>
        </w:rPr>
        <w:t>（</w:t>
      </w:r>
      <w:r>
        <w:rPr>
          <w:rFonts w:hint="eastAsia" w:ascii="仿宋_GB2312" w:hAnsi="仿宋_GB2312" w:eastAsia="仿宋_GB2312" w:cs="仿宋_GB2312"/>
          <w:bCs/>
          <w:kern w:val="0"/>
          <w:sz w:val="36"/>
          <w:szCs w:val="36"/>
        </w:rPr>
        <w:t>包含但不限于以下内容）</w:t>
      </w:r>
    </w:p>
    <w:p w14:paraId="1856A584">
      <w:pPr>
        <w:widowControl/>
        <w:tabs>
          <w:tab w:val="left" w:pos="2314"/>
          <w:tab w:val="left" w:pos="2835"/>
          <w:tab w:val="left" w:pos="3876"/>
          <w:tab w:val="left" w:pos="4623"/>
          <w:tab w:val="left" w:pos="5846"/>
          <w:tab w:val="left" w:pos="6841"/>
          <w:tab w:val="left" w:pos="7556"/>
        </w:tabs>
        <w:spacing w:line="600" w:lineRule="exact"/>
        <w:ind w:firstLine="720" w:firstLineChars="200"/>
        <w:jc w:val="left"/>
        <w:rPr>
          <w:rFonts w:ascii="仿宋_GB2312" w:hAnsi="仿宋_GB2312" w:eastAsia="仿宋_GB2312" w:cs="仿宋_GB2312"/>
          <w:bCs/>
          <w:kern w:val="0"/>
          <w:sz w:val="36"/>
          <w:szCs w:val="36"/>
        </w:rPr>
      </w:pPr>
      <w:r>
        <w:rPr>
          <w:rFonts w:hint="eastAsia" w:ascii="仿宋_GB2312" w:hAnsi="仿宋_GB2312" w:eastAsia="仿宋_GB2312" w:cs="仿宋_GB2312"/>
          <w:bCs/>
          <w:kern w:val="0"/>
          <w:sz w:val="36"/>
          <w:szCs w:val="36"/>
        </w:rPr>
        <w:t>一、基金基本情况（基金名称、注册地、经营范围、存续年限、计划募集资金金额、募集资金方式、募集资金到位计划、基金管理费用、收益分配等）。</w:t>
      </w:r>
    </w:p>
    <w:p w14:paraId="18B547AD">
      <w:pPr>
        <w:widowControl/>
        <w:tabs>
          <w:tab w:val="left" w:pos="2314"/>
          <w:tab w:val="left" w:pos="2835"/>
          <w:tab w:val="left" w:pos="3876"/>
          <w:tab w:val="left" w:pos="4623"/>
          <w:tab w:val="left" w:pos="5846"/>
          <w:tab w:val="left" w:pos="6841"/>
          <w:tab w:val="left" w:pos="7556"/>
        </w:tabs>
        <w:spacing w:line="600" w:lineRule="exact"/>
        <w:ind w:firstLine="720" w:firstLineChars="200"/>
        <w:jc w:val="left"/>
        <w:rPr>
          <w:rFonts w:ascii="仿宋_GB2312" w:hAnsi="仿宋_GB2312" w:eastAsia="仿宋_GB2312" w:cs="仿宋_GB2312"/>
          <w:bCs/>
          <w:kern w:val="0"/>
          <w:sz w:val="36"/>
          <w:szCs w:val="36"/>
        </w:rPr>
      </w:pPr>
      <w:r>
        <w:rPr>
          <w:rFonts w:hint="eastAsia" w:ascii="仿宋_GB2312" w:hAnsi="仿宋_GB2312" w:eastAsia="仿宋_GB2312" w:cs="仿宋_GB2312"/>
          <w:bCs/>
          <w:kern w:val="0"/>
          <w:sz w:val="36"/>
          <w:szCs w:val="36"/>
        </w:rPr>
        <w:t>二、基金拟采取的投资策略（投资行业、投资阶段、投资地域、投资金额、退出策略等）。</w:t>
      </w:r>
    </w:p>
    <w:p w14:paraId="054ABD81">
      <w:pPr>
        <w:widowControl/>
        <w:tabs>
          <w:tab w:val="left" w:pos="2314"/>
          <w:tab w:val="left" w:pos="2835"/>
          <w:tab w:val="left" w:pos="3876"/>
          <w:tab w:val="left" w:pos="4623"/>
          <w:tab w:val="left" w:pos="5846"/>
          <w:tab w:val="left" w:pos="6841"/>
          <w:tab w:val="left" w:pos="7556"/>
        </w:tabs>
        <w:spacing w:line="600" w:lineRule="exact"/>
        <w:ind w:firstLine="720" w:firstLineChars="200"/>
        <w:jc w:val="left"/>
        <w:rPr>
          <w:rFonts w:ascii="仿宋_GB2312" w:hAnsi="仿宋_GB2312" w:eastAsia="仿宋_GB2312" w:cs="仿宋_GB2312"/>
          <w:bCs/>
          <w:kern w:val="0"/>
          <w:sz w:val="36"/>
          <w:szCs w:val="36"/>
        </w:rPr>
      </w:pPr>
      <w:r>
        <w:rPr>
          <w:rFonts w:hint="eastAsia" w:ascii="仿宋_GB2312" w:hAnsi="仿宋_GB2312" w:eastAsia="仿宋_GB2312" w:cs="仿宋_GB2312"/>
          <w:bCs/>
          <w:kern w:val="0"/>
          <w:sz w:val="36"/>
          <w:szCs w:val="36"/>
        </w:rPr>
        <w:t>三、基金拟设立的管理架构（包括基金组织架构、人员配置情况、投资决策委员会构成情况等）。</w:t>
      </w:r>
    </w:p>
    <w:p w14:paraId="59270604">
      <w:pPr>
        <w:widowControl/>
        <w:tabs>
          <w:tab w:val="left" w:pos="2314"/>
          <w:tab w:val="left" w:pos="2835"/>
          <w:tab w:val="left" w:pos="3876"/>
          <w:tab w:val="left" w:pos="4623"/>
          <w:tab w:val="left" w:pos="5846"/>
          <w:tab w:val="left" w:pos="6841"/>
          <w:tab w:val="left" w:pos="7556"/>
        </w:tabs>
        <w:spacing w:line="600" w:lineRule="exact"/>
        <w:ind w:firstLine="720" w:firstLineChars="200"/>
        <w:jc w:val="left"/>
        <w:rPr>
          <w:rFonts w:ascii="仿宋_GB2312" w:hAnsi="仿宋_GB2312" w:eastAsia="仿宋_GB2312" w:cs="仿宋_GB2312"/>
          <w:bCs/>
          <w:kern w:val="0"/>
          <w:sz w:val="36"/>
          <w:szCs w:val="36"/>
        </w:rPr>
      </w:pPr>
      <w:r>
        <w:rPr>
          <w:rFonts w:hint="eastAsia" w:ascii="仿宋_GB2312" w:hAnsi="仿宋_GB2312" w:eastAsia="仿宋_GB2312" w:cs="仿宋_GB2312"/>
          <w:bCs/>
          <w:kern w:val="0"/>
          <w:sz w:val="36"/>
          <w:szCs w:val="36"/>
        </w:rPr>
        <w:t>四、基金拟制定的内部控制、风险控制制度及具体措施（项目投资流程、尽职调查制度、投资决策委员会议事规则在内的各类内部控制、风险控制制度）、投后管理制度等。</w:t>
      </w:r>
    </w:p>
    <w:p w14:paraId="55C75310">
      <w:pPr>
        <w:widowControl/>
        <w:tabs>
          <w:tab w:val="left" w:pos="2314"/>
          <w:tab w:val="left" w:pos="2835"/>
          <w:tab w:val="left" w:pos="3876"/>
          <w:tab w:val="left" w:pos="4623"/>
          <w:tab w:val="left" w:pos="5846"/>
          <w:tab w:val="left" w:pos="6841"/>
          <w:tab w:val="left" w:pos="7556"/>
        </w:tabs>
        <w:spacing w:line="600" w:lineRule="exact"/>
        <w:ind w:firstLine="720" w:firstLineChars="200"/>
        <w:jc w:val="left"/>
        <w:rPr>
          <w:rFonts w:ascii="仿宋_GB2312" w:hAnsi="仿宋_GB2312" w:eastAsia="仿宋_GB2312" w:cs="仿宋_GB2312"/>
          <w:bCs/>
          <w:kern w:val="0"/>
          <w:sz w:val="36"/>
          <w:szCs w:val="36"/>
        </w:rPr>
      </w:pPr>
      <w:r>
        <w:rPr>
          <w:rFonts w:hint="eastAsia" w:ascii="仿宋_GB2312" w:hAnsi="仿宋_GB2312" w:eastAsia="仿宋_GB2312" w:cs="仿宋_GB2312"/>
          <w:bCs/>
          <w:kern w:val="0"/>
          <w:sz w:val="36"/>
          <w:szCs w:val="36"/>
        </w:rPr>
        <w:t>五、管理团队成员简介（主要包括：主要管理人员的教育背景、专业领域、投资业绩等）。</w:t>
      </w:r>
    </w:p>
    <w:p w14:paraId="57F3F6D9">
      <w:pPr>
        <w:widowControl/>
        <w:tabs>
          <w:tab w:val="left" w:pos="2314"/>
          <w:tab w:val="left" w:pos="2835"/>
          <w:tab w:val="left" w:pos="3876"/>
          <w:tab w:val="left" w:pos="4623"/>
          <w:tab w:val="left" w:pos="5846"/>
          <w:tab w:val="left" w:pos="6841"/>
          <w:tab w:val="left" w:pos="7556"/>
        </w:tabs>
        <w:spacing w:line="600" w:lineRule="exact"/>
        <w:ind w:firstLine="720" w:firstLineChars="200"/>
        <w:jc w:val="left"/>
        <w:rPr>
          <w:rFonts w:ascii="仿宋_GB2312" w:hAnsi="仿宋_GB2312" w:eastAsia="仿宋_GB2312" w:cs="仿宋_GB2312"/>
          <w:bCs/>
          <w:kern w:val="0"/>
          <w:sz w:val="36"/>
          <w:szCs w:val="36"/>
        </w:rPr>
      </w:pPr>
      <w:r>
        <w:rPr>
          <w:rFonts w:hint="eastAsia" w:ascii="仿宋_GB2312" w:hAnsi="仿宋_GB2312" w:eastAsia="仿宋_GB2312" w:cs="仿宋_GB2312"/>
          <w:bCs/>
          <w:kern w:val="0"/>
          <w:sz w:val="36"/>
          <w:szCs w:val="36"/>
        </w:rPr>
        <w:t>六、基金储备项目情况及投资收益预测（目前储备的与基金成立目的相符合的项目基本情况介绍及基金投资收益预测）。</w:t>
      </w:r>
    </w:p>
    <w:p w14:paraId="3BADE48D">
      <w:pPr>
        <w:widowControl/>
        <w:tabs>
          <w:tab w:val="left" w:pos="2314"/>
          <w:tab w:val="left" w:pos="2835"/>
          <w:tab w:val="left" w:pos="3876"/>
          <w:tab w:val="left" w:pos="4623"/>
          <w:tab w:val="left" w:pos="5846"/>
          <w:tab w:val="left" w:pos="6841"/>
          <w:tab w:val="left" w:pos="7556"/>
        </w:tabs>
        <w:spacing w:line="600" w:lineRule="exact"/>
        <w:ind w:firstLine="720" w:firstLineChars="200"/>
        <w:jc w:val="left"/>
        <w:rPr>
          <w:rFonts w:hint="eastAsia" w:ascii="仿宋_GB2312" w:hAnsi="仿宋_GB2312" w:eastAsia="仿宋_GB2312" w:cs="仿宋_GB2312"/>
          <w:bCs/>
          <w:sz w:val="36"/>
          <w:szCs w:val="36"/>
          <w:lang w:eastAsia="zh-CN"/>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bCs/>
          <w:kern w:val="0"/>
          <w:sz w:val="36"/>
          <w:szCs w:val="36"/>
        </w:rPr>
        <w:t>八、其他需说明情况（本机构资源及优势分析，请重点描述本机构在资金募集方面的优势、政府引导基金管理、资金募集方面的优势及本机构股东背景及行业获奖荣誉等介绍）</w:t>
      </w:r>
      <w:r>
        <w:rPr>
          <w:rFonts w:hint="eastAsia" w:ascii="仿宋_GB2312" w:hAnsi="仿宋_GB2312" w:eastAsia="仿宋_GB2312" w:cs="仿宋_GB2312"/>
          <w:bCs/>
          <w:kern w:val="0"/>
          <w:sz w:val="36"/>
          <w:szCs w:val="36"/>
          <w:lang w:eastAsia="zh-CN"/>
        </w:rPr>
        <w:t>。</w:t>
      </w:r>
      <w:bookmarkStart w:id="0" w:name="_GoBack"/>
      <w:bookmarkEnd w:id="0"/>
    </w:p>
    <w:p w14:paraId="34CFE15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6131BA"/>
    <w:rsid w:val="49631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427</Words>
  <Characters>427</Characters>
  <Lines>0</Lines>
  <Paragraphs>0</Paragraphs>
  <TotalTime>0</TotalTime>
  <ScaleCrop>false</ScaleCrop>
  <LinksUpToDate>false</LinksUpToDate>
  <CharactersWithSpaces>427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2025-06-27T08:00:00Z</dcterms:created>
  <dc:creator>yanshan</dc:creator>
  <cp:lastModifiedBy>图图</cp:lastModifiedBy>
  <dcterms:modified xsi:type="dcterms:W3CDTF">2025-06-27T08:06:44Z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eyJoZGlkIjoiODM2ZTE5M2U5YmY3NWI3YWRiNjZhYzI2ZjJjOWYzZWEiLCJ1c2VySWQiOiI1MTcyMTYxNjcifQ==</vt:lpwstr>
  </property>
  <property fmtid="{D5CDD505-2E9C-101B-9397-08002B2CF9AE}" pid="4" name="ICV">
    <vt:lpwstr>39B6BF3A51B94EC2BC03C62CA2BF7BC2_12</vt:lpwstr>
  </property>
</Properties>
</file>